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lang w:val="ru-RU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  <w:lang w:val="ru-RU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-284480</wp:posOffset>
            </wp:positionV>
            <wp:extent cx="965200" cy="920115"/>
            <wp:effectExtent l="0" t="0" r="10160" b="9525"/>
            <wp:wrapSquare wrapText="bothSides"/>
            <wp:docPr id="899854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5438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74" cy="9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val="ru-RU" w:eastAsia="en-US" w:bidi="ar-SA"/>
        </w:rPr>
        <w:t>Ключевой информационный документ</w:t>
      </w:r>
    </w:p>
    <w:p>
      <w:pPr>
        <w:pStyle w:val="5"/>
        <w:ind w:left="246" w:right="2870"/>
        <w:jc w:val="center"/>
      </w:pPr>
      <w:r>
        <w:t>по</w:t>
      </w:r>
      <w:r>
        <w:rPr>
          <w:spacing w:val="-2"/>
        </w:rPr>
        <w:t xml:space="preserve"> </w:t>
      </w:r>
      <w:r>
        <w:t>страхованию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за</w:t>
      </w:r>
      <w:r>
        <w:rPr>
          <w:lang w:val="ru-RU"/>
        </w:rPr>
        <w:t>ё</w:t>
      </w:r>
      <w:r>
        <w:t>мщиков</w:t>
      </w:r>
    </w:p>
    <w:p>
      <w:pPr>
        <w:pStyle w:val="5"/>
        <w:ind w:left="246" w:right="2873"/>
        <w:jc w:val="center"/>
        <w:rPr>
          <w:b/>
          <w:sz w:val="10"/>
        </w:rPr>
      </w:pPr>
      <w:r>
        <w:t>подготовлен на основании Правил добровольного страхования физических лиц от</w:t>
      </w:r>
      <w:r>
        <w:rPr>
          <w:spacing w:val="-50"/>
        </w:rPr>
        <w:t xml:space="preserve"> </w:t>
      </w:r>
      <w:r>
        <w:t>несчастных случаев и болезней ООО «Абсолют Страхование», утвержденных</w:t>
      </w:r>
      <w:r>
        <w:rPr>
          <w:spacing w:val="1"/>
        </w:rPr>
        <w:t xml:space="preserve"> </w:t>
      </w:r>
      <w:r>
        <w:t>приказом генерального директора, в редакции, действующей на дату заключения</w:t>
      </w:r>
      <w:r>
        <w:rPr>
          <w:spacing w:val="1"/>
        </w:rPr>
        <w:t xml:space="preserve"> </w:t>
      </w:r>
      <w:r>
        <w:t>Полиса</w:t>
      </w:r>
      <w:r>
        <w:rPr>
          <w:spacing w:val="-2"/>
        </w:rPr>
        <w:t xml:space="preserve"> </w:t>
      </w:r>
      <w:r>
        <w:t>(далее – Правила</w:t>
      </w:r>
      <w:r>
        <w:rPr>
          <w:spacing w:val="-1"/>
        </w:rPr>
        <w:t xml:space="preserve"> </w:t>
      </w:r>
      <w:r>
        <w:t>страхования)</w:t>
      </w:r>
    </w:p>
    <w:tbl>
      <w:tblPr>
        <w:tblStyle w:val="3"/>
        <w:tblW w:w="11369" w:type="dxa"/>
        <w:tblInd w:w="-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19"/>
        <w:gridCol w:w="2721"/>
        <w:gridCol w:w="43"/>
        <w:gridCol w:w="70"/>
        <w:gridCol w:w="2154"/>
        <w:gridCol w:w="453"/>
        <w:gridCol w:w="31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819" w:type="dxa"/>
            <w:gridSpan w:val="2"/>
            <w:shd w:val="clear" w:color="auto" w:fill="94B3D6"/>
          </w:tcPr>
          <w:p>
            <w:pPr>
              <w:pStyle w:val="9"/>
              <w:spacing w:before="1"/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Кредитор:</w:t>
            </w:r>
          </w:p>
        </w:tc>
        <w:tc>
          <w:tcPr>
            <w:tcW w:w="2834" w:type="dxa"/>
            <w:gridSpan w:val="3"/>
          </w:tcPr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ООО МФК «ЭкспрессДеньги»</w:t>
            </w:r>
          </w:p>
        </w:tc>
        <w:tc>
          <w:tcPr>
            <w:tcW w:w="2607" w:type="dxa"/>
            <w:gridSpan w:val="2"/>
            <w:shd w:val="clear" w:color="auto" w:fill="94B3D6"/>
          </w:tcPr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Страховщик:</w:t>
            </w:r>
          </w:p>
        </w:tc>
        <w:tc>
          <w:tcPr>
            <w:tcW w:w="3109" w:type="dxa"/>
          </w:tcPr>
          <w:p>
            <w:pPr>
              <w:pStyle w:val="9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ООО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"Абсолют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Страхование"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1369" w:type="dxa"/>
            <w:gridSpan w:val="8"/>
            <w:shd w:val="clear" w:color="auto" w:fill="94B3D6"/>
          </w:tcPr>
          <w:p>
            <w:pPr>
              <w:pStyle w:val="9"/>
              <w:spacing w:before="1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Раздел I. ЧТО ЗАСТРАХОВАНО?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369" w:type="dxa"/>
            <w:gridSpan w:val="8"/>
          </w:tcPr>
          <w:p>
            <w:pPr>
              <w:pStyle w:val="9"/>
              <w:spacing w:before="1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Стоимость страхования: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369" w:type="dxa"/>
            <w:gridSpan w:val="8"/>
          </w:tcPr>
          <w:p>
            <w:pPr>
              <w:pStyle w:val="9"/>
              <w:spacing w:before="1"/>
              <w:jc w:val="center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Основные риски</w:t>
            </w: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- отсутствуют</w:t>
            </w:r>
          </w:p>
          <w:p>
            <w:pPr>
              <w:pStyle w:val="9"/>
              <w:spacing w:before="1"/>
              <w:jc w:val="center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(риски, которые влияют на условия потребительского займа или по которым Кредитор является Выгодоприобретателем).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369" w:type="dxa"/>
            <w:gridSpan w:val="8"/>
          </w:tcPr>
          <w:p>
            <w:pPr>
              <w:pStyle w:val="9"/>
              <w:spacing w:before="1"/>
              <w:jc w:val="center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Дополнительные риски</w:t>
            </w: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(которые не влияют на условия потребительского займа и по которым Выгодоприобретателем является Застрахованное лицо, либо его наследники (далее - дополнительные риски)).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540" w:type="dxa"/>
            <w:gridSpan w:val="3"/>
          </w:tcPr>
          <w:p>
            <w:pPr>
              <w:pStyle w:val="9"/>
              <w:spacing w:before="1"/>
              <w:jc w:val="center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Смерть в результате несчастного случая, произошедшего в течение периода страхования;</w:t>
            </w:r>
          </w:p>
          <w:p>
            <w:pPr>
              <w:pStyle w:val="9"/>
              <w:spacing w:before="1"/>
              <w:jc w:val="center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sz w:val="17"/>
              </w:rPr>
            </w:pP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Инвалидность I, II группы в результате несчастного случая, произошедшего в течение периода страхования.</w:t>
            </w:r>
          </w:p>
        </w:tc>
        <w:tc>
          <w:tcPr>
            <w:tcW w:w="2267" w:type="dxa"/>
            <w:gridSpan w:val="3"/>
          </w:tcPr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ascii="Verdana" w:hAnsi="Verdana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b/>
                <w:bCs/>
                <w:sz w:val="16"/>
                <w:szCs w:val="16"/>
                <w:lang w:val="ru-RU"/>
              </w:rPr>
              <w:t>______</w:t>
            </w:r>
          </w:p>
          <w:p>
            <w:pPr>
              <w:pStyle w:val="9"/>
              <w:spacing w:before="1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ascii="Verdana" w:hAnsi="Verdana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b/>
                <w:bCs/>
                <w:sz w:val="16"/>
                <w:szCs w:val="16"/>
                <w:lang w:val="ru-RU"/>
              </w:rPr>
              <w:t>______</w:t>
            </w:r>
          </w:p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- плата за страхование, в т.ч.</w:t>
            </w:r>
          </w:p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>
            <w:pPr>
              <w:pStyle w:val="9"/>
              <w:spacing w:before="1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- страховая премия за дополнительные риски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369" w:type="dxa"/>
            <w:gridSpan w:val="8"/>
            <w:shd w:val="clear" w:color="auto" w:fill="94B3D6"/>
          </w:tcPr>
          <w:p>
            <w:pPr>
              <w:pStyle w:val="9"/>
              <w:spacing w:before="58"/>
              <w:ind w:left="3000" w:right="29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Раздел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II.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ЧТО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ЗАСТРАХОВАНО?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69" w:type="dxa"/>
            <w:gridSpan w:val="8"/>
          </w:tcPr>
          <w:p>
            <w:pPr>
              <w:pStyle w:val="9"/>
              <w:spacing w:before="1"/>
              <w:jc w:val="left"/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 Событие, наступившее в результате алкогольного, наркотического или токсического опьянения (отравления) Застрахованного.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 xml:space="preserve">2. Событие, наступившее вследствие заболевания Застрахованного лица. 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3. Событие, наступившее вследствие умысла страхователя, выгодоприобретателя, застрахованного лица (в том числе самоубийство).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4. Событие, наступившее вследствие воздействия ядерного взрыва, радиации или радиоактивного заражения.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5. Событие возникшее в результате военных действий, а так же маневров или иных военных мероприятий и их последствий.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6. Событие, наступившее вследствие гражданской войны, народных волнений всякого рода или забастовок.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7. Событие, наступившее вследствие занятия экстремальными видами спорта, катания на горных лыжах, сноуборде, прыжков с парашютом, полетов на дельтаплане или параплане, пилотирования летательных аппаратов, скалолазания, альпинизма, дайвинга, автоспорта, мотоспорта, любых единоборств, которые не были заявлены Страховщику при заключении Полиса или в период действия Полиса до начала занятий указанными видами спорта.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1369" w:type="dxa"/>
            <w:gridSpan w:val="8"/>
            <w:shd w:val="clear" w:color="auto" w:fill="94B3D6"/>
          </w:tcPr>
          <w:p>
            <w:pPr>
              <w:pStyle w:val="9"/>
              <w:spacing w:before="115"/>
              <w:ind w:left="2999" w:right="29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Раздел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III.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КАК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ПОЛУЧИТЬ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СТРАХОВУЮ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ВЫПЛАТУ?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11369" w:type="dxa"/>
            <w:gridSpan w:val="8"/>
          </w:tcPr>
          <w:p>
            <w:pPr>
              <w:pStyle w:val="9"/>
              <w:spacing w:before="1"/>
              <w:ind w:left="87"/>
              <w:rPr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Для получения страховой выплаты по страхованию от несчастных случаев требуется представить следующие документы: 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1. Заявление о страховой выплате;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 xml:space="preserve">2. Документ, удостоверяющий личность; 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3. Договор страхования (Полис);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 xml:space="preserve">4. По риску "Смерть": Свидетельство или справку о смерти; документы из медицинского учреждения и/или компетентных органов, подтверждающие диагноз, причину смерти и/или обстоятельства ее наступления. 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Если страховая выплата производится наследникам Застрахованного лица – документ, подтверждающий вступление наследников Застрахованного лица в права наследования на страховую выплату, свидетельство о праве на наследство.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5. По риску "Инвалидность": Заключение или справку медико-социальной экспертизы об установлении инвалидности; документы из медицинского учреждения, подтверждающие факт обращения за медицинской помощью в результате несчастного случая или заболевания, установленный диагноз, дату его установления; листок нетрудоспособности, содержащий отметку об установлении I или II группы инвалидности; документы из медицинского учреждения, подтверждающие диагноз заболевания, в результате которого была установлена инвалидность, дату его первичного установления и дату установления диагноза обострения хронического заболевания.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Страховая выплата осуществляется в течение 30 календарных дней со дня представления указанных документов.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369" w:type="dxa"/>
            <w:gridSpan w:val="8"/>
            <w:shd w:val="clear" w:color="auto" w:fill="94B3D6"/>
            <w:vAlign w:val="center"/>
          </w:tcPr>
          <w:p>
            <w:pPr>
              <w:jc w:val="center"/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Раздел IV. КАК ВЕРНУТЬ СТРАХОВУЮ ПРЕМИЮ?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83" w:type="dxa"/>
            <w:gridSpan w:val="4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Основания для возврата страховой премии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Сумма возврата страховой премии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83" w:type="dxa"/>
            <w:gridSpan w:val="4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Отказ от добровольного страхования в течение 14 календарных дней со дня выражения согласия на включение в число застрахованных лиц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100% стоимости страхования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583" w:type="dxa"/>
            <w:gridSpan w:val="4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Отказ от добровольного страхования в случае ненадлежащего информирования об условиях страхования</w:t>
            </w:r>
          </w:p>
        </w:tc>
        <w:tc>
          <w:tcPr>
            <w:tcW w:w="5786" w:type="dxa"/>
            <w:gridSpan w:val="4"/>
            <w:vMerge w:val="restart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100% страховой премии за вычетом части страховой премии, исчисляемой пропорционально времени, в течение которого действовало страхование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583" w:type="dxa"/>
            <w:gridSpan w:val="4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Полное досрочное погашение кредита (займа)</w:t>
            </w:r>
          </w:p>
        </w:tc>
        <w:tc>
          <w:tcPr>
            <w:tcW w:w="5786" w:type="dxa"/>
            <w:gridSpan w:val="4"/>
            <w:vMerge w:val="continue"/>
            <w:vAlign w:val="center"/>
          </w:tcPr>
          <w:p>
            <w:pPr>
              <w:rPr>
                <w:sz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369" w:type="dxa"/>
            <w:gridSpan w:val="8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В иных случаях страховая премия возврату не подлежит.</w:t>
            </w:r>
            <w:r>
              <w:rPr>
                <w:rFonts w:ascii="Verdana" w:hAnsi="Verdana" w:cs="Calibri"/>
                <w:sz w:val="16"/>
                <w:szCs w:val="16"/>
              </w:rPr>
              <w:br w:type="textWrapping"/>
            </w:r>
            <w:r>
              <w:rPr>
                <w:rFonts w:ascii="Verdana" w:hAnsi="Verdana" w:cs="Calibri"/>
                <w:sz w:val="16"/>
                <w:szCs w:val="16"/>
              </w:rPr>
              <w:t>Возврат страховой премии осуществляется в течение 7 (семи) рабочих дней со дня получения соответствующего заявления.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1369" w:type="dxa"/>
            <w:gridSpan w:val="8"/>
            <w:vAlign w:val="center"/>
          </w:tcPr>
          <w:p>
            <w:pPr>
              <w:jc w:val="center"/>
              <w:rPr>
                <w:b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Раздел V. КАК ПОВЛИЯЕТ ОТКАЗ ОТ СТРАХОВАНИЯ НА КРЕДИТ (ЗАЕМ)?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369" w:type="dxa"/>
            <w:gridSpan w:val="8"/>
            <w:shd w:val="clear" w:color="auto" w:fill="94B3D6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Отказ от страхования не влияет на условия договора потребительского кредита (займа).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1369" w:type="dxa"/>
            <w:gridSpan w:val="8"/>
            <w:vAlign w:val="center"/>
          </w:tcPr>
          <w:p>
            <w:pPr>
              <w:jc w:val="center"/>
              <w:rPr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Раздел VI. КУДА ОБРАЩАТЬСЯ?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1369" w:type="dxa"/>
            <w:gridSpan w:val="8"/>
            <w:shd w:val="clear" w:color="auto" w:fill="94B3D6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Заявления об отказе от страхования, о возврате стоимости страхования, иные сообщения могут быть направлены: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700" w:type="dxa"/>
            <w:vAlign w:val="center"/>
          </w:tcPr>
          <w:p>
            <w:pPr>
              <w:rPr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Кредитору по адресу: </w:t>
            </w:r>
          </w:p>
        </w:tc>
        <w:tc>
          <w:tcPr>
            <w:tcW w:w="8669" w:type="dxa"/>
            <w:gridSpan w:val="7"/>
            <w:vAlign w:val="center"/>
          </w:tcPr>
          <w:p>
            <w:pPr>
              <w:jc w:val="both"/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700" w:type="dxa"/>
            <w:vAlign w:val="center"/>
          </w:tcPr>
          <w:p>
            <w:pPr>
              <w:rPr>
                <w:b/>
                <w:bCs/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Страховщику по адресу: </w:t>
            </w:r>
          </w:p>
        </w:tc>
        <w:tc>
          <w:tcPr>
            <w:tcW w:w="8669" w:type="dxa"/>
            <w:gridSpan w:val="7"/>
            <w:vAlign w:val="center"/>
          </w:tcPr>
          <w:p>
            <w:pPr>
              <w:jc w:val="both"/>
              <w:rPr>
                <w:sz w:val="17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115280, г. Москва, ул. Ленинская Слобода, д. 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1369" w:type="dxa"/>
            <w:gridSpan w:val="8"/>
            <w:vAlign w:val="center"/>
          </w:tcPr>
          <w:p>
            <w:pPr>
              <w:jc w:val="center"/>
              <w:rPr>
                <w:sz w:val="17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Раздел VII. КАК УРЕГУЛИРОВАТЬ СПОР ДО СУДА?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369" w:type="dxa"/>
            <w:gridSpan w:val="8"/>
            <w:shd w:val="clear" w:color="auto" w:fill="94B3D6"/>
            <w:vAlign w:val="center"/>
          </w:tcPr>
          <w:p>
            <w:pPr>
              <w:rPr>
                <w:b/>
                <w:sz w:val="17"/>
              </w:rPr>
            </w:pPr>
            <w:r>
              <w:rPr>
                <w:rFonts w:ascii="Verdana" w:hAnsi="Verdana" w:cs="Calibri"/>
                <w:sz w:val="15"/>
                <w:szCs w:val="15"/>
              </w:rPr>
              <w:t>1. Направить кредитору (страховщику) заявление (претензию) в письменной форме.</w:t>
            </w:r>
            <w:r>
              <w:rPr>
                <w:rFonts w:ascii="Verdana" w:hAnsi="Verdana" w:cs="Calibri"/>
                <w:sz w:val="15"/>
                <w:szCs w:val="15"/>
              </w:rPr>
              <w:br w:type="textWrapping"/>
            </w:r>
            <w:r>
              <w:rPr>
                <w:rFonts w:ascii="Verdana" w:hAnsi="Verdana" w:cs="Calibri"/>
                <w:sz w:val="15"/>
                <w:szCs w:val="15"/>
              </w:rPr>
              <w:t>2. Если кредитор (страховщик) не удовлетворил заявление (претензию), при этом размер требований не превышает 500 000,00 рублей, до обращения в суд необходимо обратиться к уполномоченному по правам потребителей финансовых услуг:</w:t>
            </w:r>
            <w:r>
              <w:rPr>
                <w:rFonts w:ascii="Verdana" w:hAnsi="Verdana" w:cs="Calibri"/>
                <w:sz w:val="15"/>
                <w:szCs w:val="15"/>
              </w:rPr>
              <w:br w:type="textWrapping"/>
            </w:r>
            <w:r>
              <w:rPr>
                <w:rFonts w:ascii="Verdana" w:hAnsi="Verdana" w:cs="Calibri"/>
                <w:sz w:val="15"/>
                <w:szCs w:val="15"/>
              </w:rPr>
              <w:t>сайт: www.finombudsman.ru;</w:t>
            </w:r>
            <w:r>
              <w:rPr>
                <w:rFonts w:ascii="Verdana" w:hAnsi="Verdana" w:cs="Calibri"/>
                <w:sz w:val="15"/>
                <w:szCs w:val="15"/>
              </w:rPr>
              <w:br w:type="textWrapping"/>
            </w:r>
            <w:r>
              <w:rPr>
                <w:rFonts w:ascii="Verdana" w:hAnsi="Verdana" w:cs="Calibri"/>
                <w:sz w:val="15"/>
                <w:szCs w:val="15"/>
              </w:rPr>
              <w:t>адрес: 119017, г. Москва, Старомонетный пер., дом 3.</w:t>
            </w:r>
            <w:r>
              <w:rPr>
                <w:rFonts w:ascii="Verdana" w:hAnsi="Verdana" w:cs="Calibri"/>
                <w:sz w:val="15"/>
                <w:szCs w:val="15"/>
              </w:rPr>
              <w:br w:type="textWrapping"/>
            </w:r>
            <w:r>
              <w:rPr>
                <w:rFonts w:ascii="Verdana" w:hAnsi="Verdana" w:cs="Calibri"/>
                <w:sz w:val="15"/>
                <w:szCs w:val="15"/>
              </w:rPr>
              <w:t>Рассмотрение уполномоченным по правам потребителей финансовых услуг обращения потребителя финансовых услуг осуществляется бесплатно.</w:t>
            </w:r>
          </w:p>
        </w:tc>
      </w:tr>
    </w:tbl>
    <w:p/>
    <w:sectPr>
      <w:headerReference r:id="rId3" w:type="default"/>
      <w:pgSz w:w="11910" w:h="16840"/>
      <w:pgMar w:top="1580" w:right="440" w:bottom="280" w:left="460" w:header="1417" w:footer="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rPr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0lY7tAAAAAFAQAADwAAAAAAAAABACAAAAAiAAAAZHJzL2Rvd25yZXYu&#10;eG1sUEsBAhQAFAAAAAgAh07iQF6xCFE8AgAAZwQAAA4AAAAAAAAAAQAgAAAAH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0A"/>
    <w:rsid w:val="0027560A"/>
    <w:rsid w:val="004D2F0D"/>
    <w:rsid w:val="00C05A11"/>
    <w:rsid w:val="046D6300"/>
    <w:rsid w:val="3C7D7BEF"/>
    <w:rsid w:val="4613720A"/>
    <w:rsid w:val="4AD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1"/>
    <w:rPr>
      <w:b/>
      <w:bCs/>
      <w:sz w:val="21"/>
      <w:szCs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cid:image002.png@01D9BFE3.AD8E0EF0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5045</Characters>
  <Lines>42</Lines>
  <Paragraphs>11</Paragraphs>
  <TotalTime>0</TotalTime>
  <ScaleCrop>false</ScaleCrop>
  <LinksUpToDate>false</LinksUpToDate>
  <CharactersWithSpaces>5919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2023-06-06T06:09:00Z</dcterms:created>
  <dc:creator>iz</dc:creator>
  <cp:lastModifiedBy>s.eliseeva</cp:lastModifiedBy>
  <dcterms:modified xsi:type="dcterms:W3CDTF">2023-08-09T07:47:40Z</dcterms:modified>
  <dc:subject>Report</dc:subject>
  <dc:title>Report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Stimulsoft Reports 2016.1.0 from 17 February 2016</vt:lpwstr>
  </property>
  <property fmtid="{D5CDD505-2E9C-101B-9397-08002B2CF9AE}" pid="4" name="LastSaved">
    <vt:filetime>2023-06-05T00:00:00Z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29DE3E91D0664A3CA1DDD1EB168752AE</vt:lpwstr>
  </property>
</Properties>
</file>