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33A6C" w14:textId="77777777" w:rsidR="000B311B" w:rsidRPr="00E31ED7" w:rsidRDefault="000B311B" w:rsidP="000B311B">
      <w:pPr>
        <w:spacing w:before="120"/>
        <w:jc w:val="center"/>
        <w:rPr>
          <w:b/>
          <w:sz w:val="22"/>
          <w:szCs w:val="22"/>
        </w:rPr>
      </w:pPr>
      <w:r w:rsidRPr="00E31ED7">
        <w:rPr>
          <w:b/>
          <w:sz w:val="22"/>
          <w:szCs w:val="22"/>
        </w:rPr>
        <w:t>ПАМЯТКА ЗАСТРАХОВАННОМУ ЛИЦУ</w:t>
      </w:r>
    </w:p>
    <w:p w14:paraId="747F173A" w14:textId="08B559FF" w:rsidR="000B311B" w:rsidRPr="00BD1019" w:rsidRDefault="000B311B" w:rsidP="000B311B">
      <w:pPr>
        <w:tabs>
          <w:tab w:val="left" w:pos="284"/>
        </w:tabs>
        <w:autoSpaceDE w:val="0"/>
        <w:autoSpaceDN w:val="0"/>
        <w:adjustRightInd w:val="0"/>
        <w:ind w:left="-284"/>
        <w:jc w:val="both"/>
        <w:rPr>
          <w:b/>
          <w:bCs/>
          <w:lang w:bidi="ru-RU"/>
        </w:rPr>
      </w:pPr>
      <w:r w:rsidRPr="00CF10C5">
        <w:rPr>
          <w:bCs/>
          <w:color w:val="1D1D1B"/>
          <w:spacing w:val="-4"/>
        </w:rPr>
        <w:t xml:space="preserve">Настоящая Памятка содержит выдержку из условий Договора коллективного страхования рисков держателей пластиковых карт </w:t>
      </w:r>
      <w:r>
        <w:rPr>
          <w:bCs/>
          <w:color w:val="1D1D1B"/>
          <w:spacing w:val="-4"/>
        </w:rPr>
        <w:t xml:space="preserve">      </w:t>
      </w:r>
      <w:r w:rsidRPr="00FE6E95">
        <w:rPr>
          <w:bCs/>
          <w:color w:val="1D1D1B"/>
          <w:spacing w:val="-4"/>
        </w:rPr>
        <w:t>№</w:t>
      </w:r>
      <w:r>
        <w:rPr>
          <w:bCs/>
          <w:color w:val="1D1D1B"/>
          <w:spacing w:val="-4"/>
        </w:rPr>
        <w:t xml:space="preserve"> </w:t>
      </w:r>
      <w:r w:rsidRPr="00FE6E95">
        <w:rPr>
          <w:bCs/>
          <w:color w:val="1D1D1B"/>
          <w:spacing w:val="-4"/>
        </w:rPr>
        <w:t>001-ГС-000</w:t>
      </w:r>
      <w:r>
        <w:rPr>
          <w:bCs/>
          <w:color w:val="1D1D1B"/>
          <w:spacing w:val="-4"/>
        </w:rPr>
        <w:t>763</w:t>
      </w:r>
      <w:r w:rsidRPr="00FE6E95">
        <w:rPr>
          <w:bCs/>
          <w:color w:val="1D1D1B"/>
          <w:spacing w:val="-4"/>
        </w:rPr>
        <w:t>/23 от «</w:t>
      </w:r>
      <w:r>
        <w:rPr>
          <w:bCs/>
          <w:color w:val="1D1D1B"/>
          <w:spacing w:val="-4"/>
        </w:rPr>
        <w:t>08</w:t>
      </w:r>
      <w:r w:rsidRPr="00FE6E95">
        <w:rPr>
          <w:bCs/>
          <w:color w:val="1D1D1B"/>
          <w:spacing w:val="-4"/>
        </w:rPr>
        <w:t xml:space="preserve">» </w:t>
      </w:r>
      <w:r>
        <w:rPr>
          <w:bCs/>
          <w:color w:val="1D1D1B"/>
          <w:spacing w:val="-4"/>
        </w:rPr>
        <w:t>августа</w:t>
      </w:r>
      <w:r w:rsidRPr="00FE6E95">
        <w:rPr>
          <w:bCs/>
          <w:color w:val="1D1D1B"/>
          <w:spacing w:val="-4"/>
        </w:rPr>
        <w:t xml:space="preserve"> 2023 г.</w:t>
      </w:r>
      <w:r w:rsidRPr="001375B3">
        <w:rPr>
          <w:bCs/>
          <w:color w:val="1D1D1B"/>
          <w:spacing w:val="-4"/>
        </w:rPr>
        <w:t xml:space="preserve"> (далее – Договор),</w:t>
      </w:r>
      <w:r w:rsidRPr="00A460EB">
        <w:rPr>
          <w:bCs/>
          <w:color w:val="1D1D1B"/>
          <w:spacing w:val="-4"/>
        </w:rPr>
        <w:t xml:space="preserve"> заключенного между ООО «Абсолют Страхование» (далее – Страховщик) и </w:t>
      </w:r>
      <w:r>
        <w:t>ООО МФК «ЭкспрессДеньги»</w:t>
      </w:r>
      <w:r w:rsidRPr="00A460EB">
        <w:rPr>
          <w:bCs/>
          <w:color w:val="1D1D1B"/>
          <w:spacing w:val="-4"/>
        </w:rPr>
        <w:t xml:space="preserve"> (далее – Страхователь) на условиях Правил комплексного страхования рисков держателей пластиковых карт в редакции, действующей на дату заключения Договора, являющихся неотъемлемой частью Договора</w:t>
      </w:r>
      <w:r w:rsidRPr="00A460EB">
        <w:rPr>
          <w:b/>
          <w:bCs/>
          <w:lang w:bidi="ru-RU"/>
        </w:rPr>
        <w:t>.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796"/>
      </w:tblGrid>
      <w:tr w:rsidR="000B311B" w:rsidRPr="00E31ED7" w14:paraId="7DA9623E" w14:textId="77777777" w:rsidTr="00293F33">
        <w:tc>
          <w:tcPr>
            <w:tcW w:w="2978" w:type="dxa"/>
            <w:vMerge w:val="restart"/>
            <w:shd w:val="clear" w:color="auto" w:fill="8DB3E2"/>
            <w:vAlign w:val="center"/>
          </w:tcPr>
          <w:p w14:paraId="4AAB07B4" w14:textId="77777777" w:rsidR="000B311B" w:rsidRPr="00E31ED7" w:rsidRDefault="000B311B" w:rsidP="00293F33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1ED7">
              <w:rPr>
                <w:rFonts w:eastAsia="Calibri"/>
                <w:b/>
                <w:sz w:val="18"/>
                <w:szCs w:val="18"/>
                <w:lang w:eastAsia="en-US"/>
              </w:rPr>
              <w:t>ЗАСТРАХОВАННОЕ ЛИЦО: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E535325" w14:textId="52110905" w:rsidR="000B311B" w:rsidRPr="00E31ED7" w:rsidRDefault="000B311B" w:rsidP="00293F3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11E8">
              <w:rPr>
                <w:rFonts w:eastAsia="Calibri"/>
                <w:i/>
                <w:sz w:val="18"/>
                <w:szCs w:val="18"/>
                <w:highlight w:val="lightGray"/>
              </w:rPr>
              <w:t>Фамилия, имя, отчество                                дата рождения</w:t>
            </w:r>
            <w:r w:rsidRPr="00E31ED7">
              <w:rPr>
                <w:rFonts w:eastAsia="Calibri"/>
                <w:i/>
                <w:sz w:val="18"/>
                <w:szCs w:val="18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</w:rPr>
              <w:t xml:space="preserve">                 </w:t>
            </w:r>
          </w:p>
        </w:tc>
      </w:tr>
      <w:tr w:rsidR="000B311B" w:rsidRPr="00E31ED7" w14:paraId="05345721" w14:textId="77777777" w:rsidTr="00293F33">
        <w:trPr>
          <w:trHeight w:val="247"/>
        </w:trPr>
        <w:tc>
          <w:tcPr>
            <w:tcW w:w="2978" w:type="dxa"/>
            <w:vMerge/>
            <w:shd w:val="clear" w:color="auto" w:fill="8DB3E2"/>
            <w:vAlign w:val="center"/>
          </w:tcPr>
          <w:p w14:paraId="662AE061" w14:textId="77777777" w:rsidR="000B311B" w:rsidRPr="00E31ED7" w:rsidRDefault="000B311B" w:rsidP="00293F33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15EECCD2" w14:textId="1640D25C" w:rsidR="000B311B" w:rsidRPr="00E31ED7" w:rsidRDefault="000B311B" w:rsidP="00293F3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11E8">
              <w:rPr>
                <w:rFonts w:eastAsia="Calibri"/>
                <w:i/>
                <w:sz w:val="18"/>
                <w:szCs w:val="18"/>
                <w:highlight w:val="lightGray"/>
              </w:rPr>
              <w:t>Паспорт:</w:t>
            </w:r>
            <w:r>
              <w:rPr>
                <w:rFonts w:eastAsia="Calibri"/>
                <w:i/>
                <w:sz w:val="18"/>
                <w:szCs w:val="18"/>
                <w:highlight w:val="lightGray"/>
              </w:rPr>
              <w:t xml:space="preserve"> </w:t>
            </w:r>
            <w:r w:rsidRPr="006011E8">
              <w:rPr>
                <w:rFonts w:eastAsia="Calibri"/>
                <w:i/>
                <w:sz w:val="18"/>
                <w:szCs w:val="18"/>
                <w:highlight w:val="lightGray"/>
              </w:rPr>
              <w:t xml:space="preserve"> серия</w:t>
            </w:r>
            <w:r>
              <w:rPr>
                <w:rFonts w:eastAsia="Calibri"/>
                <w:i/>
                <w:sz w:val="18"/>
                <w:szCs w:val="18"/>
                <w:highlight w:val="lightGray"/>
              </w:rPr>
              <w:t xml:space="preserve">                        </w:t>
            </w:r>
            <w:r w:rsidRPr="006011E8">
              <w:rPr>
                <w:rFonts w:eastAsia="Calibri"/>
                <w:i/>
                <w:sz w:val="18"/>
                <w:szCs w:val="18"/>
                <w:highlight w:val="lightGray"/>
              </w:rPr>
              <w:t>, №</w:t>
            </w:r>
            <w:r w:rsidRPr="00E31ED7">
              <w:rPr>
                <w:rFonts w:eastAsia="Calibri"/>
                <w:i/>
                <w:sz w:val="18"/>
                <w:szCs w:val="18"/>
              </w:rPr>
              <w:t xml:space="preserve">                                          </w:t>
            </w:r>
          </w:p>
        </w:tc>
      </w:tr>
      <w:tr w:rsidR="000B311B" w:rsidRPr="00E31ED7" w14:paraId="42EBFBFF" w14:textId="77777777" w:rsidTr="00293F33">
        <w:trPr>
          <w:trHeight w:val="247"/>
        </w:trPr>
        <w:tc>
          <w:tcPr>
            <w:tcW w:w="2978" w:type="dxa"/>
            <w:shd w:val="clear" w:color="auto" w:fill="8DB3E2"/>
            <w:vAlign w:val="center"/>
          </w:tcPr>
          <w:p w14:paraId="43FF415D" w14:textId="77777777" w:rsidR="000B311B" w:rsidRPr="00E31ED7" w:rsidRDefault="000B311B" w:rsidP="00293F33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ВЫГОДОПРИОБРЕТАТЕЛЬ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27B655A" w14:textId="77777777" w:rsidR="000B311B" w:rsidRPr="006E29FF" w:rsidRDefault="000B311B" w:rsidP="00293F33">
            <w:pPr>
              <w:rPr>
                <w:color w:val="000000" w:themeColor="text1"/>
                <w:sz w:val="18"/>
                <w:szCs w:val="18"/>
              </w:rPr>
            </w:pPr>
            <w:r w:rsidRPr="006E29FF">
              <w:rPr>
                <w:color w:val="000000" w:themeColor="text1"/>
                <w:sz w:val="18"/>
                <w:szCs w:val="18"/>
              </w:rPr>
              <w:t>Застрахованное лицо или его законные наследники</w:t>
            </w:r>
          </w:p>
        </w:tc>
      </w:tr>
      <w:tr w:rsidR="000B311B" w:rsidRPr="00E31ED7" w14:paraId="30AF2A20" w14:textId="77777777" w:rsidTr="00293F33">
        <w:trPr>
          <w:trHeight w:val="143"/>
        </w:trPr>
        <w:tc>
          <w:tcPr>
            <w:tcW w:w="2978" w:type="dxa"/>
            <w:shd w:val="clear" w:color="auto" w:fill="8DB3E2"/>
            <w:vAlign w:val="center"/>
          </w:tcPr>
          <w:p w14:paraId="722F385B" w14:textId="77777777" w:rsidR="000B311B" w:rsidRPr="00E31ED7" w:rsidRDefault="000B311B" w:rsidP="00293F33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ЗАСТРАХОВАННЫЕ КАРТЫ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891E948" w14:textId="77777777" w:rsidR="000B311B" w:rsidRPr="00E31ED7" w:rsidRDefault="000B311B" w:rsidP="00293F3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Все банковские карты, выпущенные на имя Застрахованного лица (держателя)</w:t>
            </w:r>
          </w:p>
        </w:tc>
      </w:tr>
      <w:tr w:rsidR="000B311B" w:rsidRPr="00E31ED7" w14:paraId="28AC533F" w14:textId="77777777" w:rsidTr="00293F33">
        <w:trPr>
          <w:trHeight w:val="435"/>
        </w:trPr>
        <w:tc>
          <w:tcPr>
            <w:tcW w:w="2978" w:type="dxa"/>
            <w:shd w:val="clear" w:color="auto" w:fill="8DB3E2"/>
            <w:vAlign w:val="center"/>
          </w:tcPr>
          <w:p w14:paraId="4AEFE597" w14:textId="77777777" w:rsidR="000B311B" w:rsidRPr="00E31ED7" w:rsidRDefault="000B311B" w:rsidP="00293F33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ЗАСТРАХОВАННЫЕ РИСКИ</w:t>
            </w:r>
          </w:p>
          <w:p w14:paraId="7047B522" w14:textId="77777777" w:rsidR="000B311B" w:rsidRPr="00E31ED7" w:rsidRDefault="000B311B" w:rsidP="00293F33">
            <w:pPr>
              <w:tabs>
                <w:tab w:val="left" w:pos="175"/>
              </w:tabs>
              <w:ind w:left="34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09FCCD0B" w14:textId="77777777" w:rsidR="000B311B" w:rsidRDefault="000B311B" w:rsidP="000B311B">
            <w:pPr>
              <w:pStyle w:val="2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Потеря и (или) кража пластиковой</w:t>
            </w:r>
            <w:r w:rsidRPr="001A2DE9">
              <w:rPr>
                <w:sz w:val="18"/>
                <w:szCs w:val="18"/>
              </w:rPr>
              <w:t xml:space="preserve"> карты</w:t>
            </w:r>
            <w:r>
              <w:rPr>
                <w:sz w:val="18"/>
                <w:szCs w:val="18"/>
              </w:rPr>
              <w:t>;</w:t>
            </w:r>
            <w:r w:rsidRPr="001A2DE9">
              <w:rPr>
                <w:sz w:val="18"/>
                <w:szCs w:val="18"/>
              </w:rPr>
              <w:t xml:space="preserve">  </w:t>
            </w:r>
          </w:p>
          <w:p w14:paraId="4252E3DB" w14:textId="77777777" w:rsidR="000B311B" w:rsidRDefault="000B311B" w:rsidP="000B311B">
            <w:pPr>
              <w:pStyle w:val="2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29F4">
              <w:rPr>
                <w:sz w:val="18"/>
                <w:szCs w:val="18"/>
              </w:rPr>
              <w:t>Открыто</w:t>
            </w:r>
            <w:r>
              <w:rPr>
                <w:sz w:val="18"/>
                <w:szCs w:val="18"/>
              </w:rPr>
              <w:t>е хищение пластиковой карты;</w:t>
            </w:r>
          </w:p>
          <w:p w14:paraId="00FC1FA1" w14:textId="77777777" w:rsidR="000B311B" w:rsidRDefault="000B311B" w:rsidP="000B311B">
            <w:pPr>
              <w:pStyle w:val="2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29F4">
              <w:rPr>
                <w:sz w:val="18"/>
                <w:szCs w:val="18"/>
              </w:rPr>
              <w:t>Хищение пластиков</w:t>
            </w:r>
            <w:r>
              <w:rPr>
                <w:sz w:val="18"/>
                <w:szCs w:val="18"/>
              </w:rPr>
              <w:t>ой карты в результате нападения;</w:t>
            </w:r>
          </w:p>
          <w:p w14:paraId="63561982" w14:textId="77777777" w:rsidR="000B311B" w:rsidRDefault="000B311B" w:rsidP="000B311B">
            <w:pPr>
              <w:pStyle w:val="2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629F4">
              <w:rPr>
                <w:sz w:val="18"/>
                <w:szCs w:val="18"/>
              </w:rPr>
              <w:t>Противоправное (незаконное), без ведома Держателя пластиковой ка</w:t>
            </w:r>
            <w:r>
              <w:rPr>
                <w:sz w:val="18"/>
                <w:szCs w:val="18"/>
              </w:rPr>
              <w:t xml:space="preserve">рты, использование пластиковой карты лицом, не </w:t>
            </w:r>
            <w:r w:rsidRPr="009629F4">
              <w:rPr>
                <w:sz w:val="18"/>
                <w:szCs w:val="18"/>
              </w:rPr>
              <w:t>имеющ</w:t>
            </w:r>
            <w:r>
              <w:rPr>
                <w:sz w:val="18"/>
                <w:szCs w:val="18"/>
              </w:rPr>
              <w:t>им на неё права пользования;</w:t>
            </w:r>
            <w:r w:rsidRPr="009629F4">
              <w:rPr>
                <w:sz w:val="18"/>
                <w:szCs w:val="18"/>
              </w:rPr>
              <w:t xml:space="preserve">   </w:t>
            </w:r>
          </w:p>
          <w:p w14:paraId="791D8F01" w14:textId="030A20C7" w:rsidR="000B311B" w:rsidRDefault="000B311B" w:rsidP="000B311B">
            <w:pPr>
              <w:pStyle w:val="2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Незаконное снятие </w:t>
            </w:r>
            <w:r w:rsidRPr="009629F4">
              <w:rPr>
                <w:sz w:val="18"/>
                <w:szCs w:val="18"/>
              </w:rPr>
              <w:t>денеж</w:t>
            </w:r>
            <w:r>
              <w:rPr>
                <w:sz w:val="18"/>
                <w:szCs w:val="18"/>
              </w:rPr>
              <w:t xml:space="preserve">ных средств со счёта карты, не выбывшей из владения Держателя карты (не утраченной, не похищенной), осуществляемое с применением </w:t>
            </w:r>
            <w:r w:rsidRPr="009629F4">
              <w:rPr>
                <w:sz w:val="18"/>
                <w:szCs w:val="18"/>
              </w:rPr>
              <w:t>интер</w:t>
            </w:r>
            <w:r>
              <w:rPr>
                <w:sz w:val="18"/>
                <w:szCs w:val="18"/>
              </w:rPr>
              <w:t xml:space="preserve">нет-мошенничества, выраженного в использовании методов заражения записей DNS </w:t>
            </w:r>
            <w:r w:rsidR="00D465F9">
              <w:rPr>
                <w:sz w:val="18"/>
                <w:szCs w:val="18"/>
              </w:rPr>
              <w:t>((англ.  Domain</w:t>
            </w:r>
            <w:bookmarkStart w:id="0" w:name="_GoBack"/>
            <w:bookmarkEnd w:id="0"/>
            <w:r w:rsidRPr="009629F4">
              <w:rPr>
                <w:sz w:val="18"/>
                <w:szCs w:val="18"/>
              </w:rPr>
              <w:t xml:space="preserve"> Name  System — система  доменных  имён) —  распределённая  система  (распределённая  база  данных),  способная  по запросу, содержащему доменное имя хоста (компьютера или другого сетевого устройства), сообщить IP-адрес или (в зависимости от запроса) другую информацию) на локальном компьютере, сценариев, встраиваемых в веб-сайты, заражения записей DNS на сервере и других способов хищения секретных д</w:t>
            </w:r>
            <w:r>
              <w:rPr>
                <w:sz w:val="18"/>
                <w:szCs w:val="18"/>
              </w:rPr>
              <w:t>анных Держателя карты (фишинг);</w:t>
            </w:r>
          </w:p>
          <w:p w14:paraId="7E040B8D" w14:textId="77777777" w:rsidR="000B311B" w:rsidRDefault="000B311B" w:rsidP="000B311B">
            <w:pPr>
              <w:pStyle w:val="2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Незаконное снятие денежных средств со счёта карты, не выбывшей из </w:t>
            </w:r>
            <w:r w:rsidRPr="009629F4">
              <w:rPr>
                <w:sz w:val="18"/>
                <w:szCs w:val="18"/>
              </w:rPr>
              <w:t>владени</w:t>
            </w:r>
            <w:r>
              <w:rPr>
                <w:sz w:val="18"/>
                <w:szCs w:val="18"/>
              </w:rPr>
              <w:t xml:space="preserve">я Держателя карты (не утраченной, не похищенной), осуществляемое с применением скиммера - устройства со считывающей магнитной головкой, усилителем — преобразователем, памятью </w:t>
            </w:r>
            <w:r w:rsidRPr="009629F4">
              <w:rPr>
                <w:sz w:val="18"/>
                <w:szCs w:val="18"/>
              </w:rPr>
              <w:t>и переходником для подк</w:t>
            </w:r>
            <w:r>
              <w:rPr>
                <w:sz w:val="18"/>
                <w:szCs w:val="18"/>
              </w:rPr>
              <w:t>лючения к компьютеру (скимминг);</w:t>
            </w:r>
          </w:p>
          <w:p w14:paraId="7C3C1987" w14:textId="77777777" w:rsidR="000B311B" w:rsidRPr="00352FC5" w:rsidRDefault="000B311B" w:rsidP="000B311B">
            <w:pPr>
              <w:pStyle w:val="2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«Перевыпуск карты» - </w:t>
            </w:r>
            <w:r w:rsidRPr="009629F4">
              <w:rPr>
                <w:sz w:val="18"/>
                <w:szCs w:val="18"/>
              </w:rPr>
              <w:t>страховым риском является несение Держателем пластиковой карты Расходов на перевыпуск карты, страховым случаем является кра</w:t>
            </w:r>
            <w:r>
              <w:rPr>
                <w:sz w:val="18"/>
                <w:szCs w:val="18"/>
              </w:rPr>
              <w:t>жа или утрата Пластиковой карты;</w:t>
            </w:r>
          </w:p>
        </w:tc>
      </w:tr>
      <w:tr w:rsidR="000B311B" w:rsidRPr="00E31ED7" w14:paraId="723B7DE6" w14:textId="77777777" w:rsidTr="00293F33">
        <w:trPr>
          <w:trHeight w:val="435"/>
        </w:trPr>
        <w:tc>
          <w:tcPr>
            <w:tcW w:w="2978" w:type="dxa"/>
            <w:shd w:val="clear" w:color="auto" w:fill="8DB3E2"/>
            <w:vAlign w:val="center"/>
          </w:tcPr>
          <w:p w14:paraId="76024D75" w14:textId="77777777" w:rsidR="000B311B" w:rsidRDefault="000B311B" w:rsidP="00293F33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СТРАХОВЫМИ СЛУЧАЯМИ НЕ ЯВЛЯЮТСЯ И НЕ ПОДЛЕЖАТ ВОЗМЕЩЕНИЮ СЛЕДУЮЩИЕ РАСХОДЫ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1627CD6" w14:textId="77777777" w:rsidR="000B311B" w:rsidRDefault="000B311B" w:rsidP="00293F33">
            <w:pPr>
              <w:jc w:val="both"/>
              <w:rPr>
                <w:sz w:val="18"/>
                <w:szCs w:val="18"/>
              </w:rPr>
            </w:pPr>
            <w:r w:rsidRPr="001A2DE9">
              <w:rPr>
                <w:sz w:val="18"/>
                <w:szCs w:val="18"/>
              </w:rPr>
              <w:t>Страховщик освобождается от выплаты страхового возмещения и страховой суммы, если страховой</w:t>
            </w:r>
            <w:r>
              <w:rPr>
                <w:sz w:val="18"/>
                <w:szCs w:val="18"/>
              </w:rPr>
              <w:t xml:space="preserve"> случай произошел в результате:</w:t>
            </w:r>
          </w:p>
          <w:p w14:paraId="4A5BF6FB" w14:textId="77777777" w:rsidR="000B311B" w:rsidRDefault="000B311B" w:rsidP="000B311B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29F4">
              <w:rPr>
                <w:sz w:val="18"/>
                <w:szCs w:val="18"/>
              </w:rPr>
              <w:t>воздействия ядерного взрыва, радиаци</w:t>
            </w:r>
            <w:r>
              <w:rPr>
                <w:sz w:val="18"/>
                <w:szCs w:val="18"/>
              </w:rPr>
              <w:t>и или радиоактивного заражения;</w:t>
            </w:r>
          </w:p>
          <w:p w14:paraId="451EE1D6" w14:textId="77777777" w:rsidR="000B311B" w:rsidRDefault="000B311B" w:rsidP="000B311B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8528BB">
              <w:rPr>
                <w:sz w:val="18"/>
                <w:szCs w:val="18"/>
              </w:rPr>
              <w:t>военных действий, а также маневро</w:t>
            </w:r>
            <w:r>
              <w:rPr>
                <w:sz w:val="18"/>
                <w:szCs w:val="18"/>
              </w:rPr>
              <w:t>в или иных военных мероприятий;</w:t>
            </w:r>
          </w:p>
          <w:p w14:paraId="4CCAA2BD" w14:textId="77777777" w:rsidR="000B311B" w:rsidRDefault="000B311B" w:rsidP="000B311B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8528BB">
              <w:rPr>
                <w:sz w:val="18"/>
                <w:szCs w:val="18"/>
              </w:rPr>
              <w:t>гражданской войны, народных волнен</w:t>
            </w:r>
            <w:r>
              <w:rPr>
                <w:sz w:val="18"/>
                <w:szCs w:val="18"/>
              </w:rPr>
              <w:t>ий всякого рода или забастовок;</w:t>
            </w:r>
          </w:p>
          <w:p w14:paraId="14D1F7E4" w14:textId="77777777" w:rsidR="000B311B" w:rsidRDefault="000B311B" w:rsidP="000B311B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умышленных действий (бездействия) Страхователя (Застрахованного </w:t>
            </w:r>
            <w:r w:rsidRPr="008528BB">
              <w:rPr>
                <w:sz w:val="18"/>
                <w:szCs w:val="18"/>
              </w:rPr>
              <w:t>лица), направленных на</w:t>
            </w:r>
            <w:r>
              <w:rPr>
                <w:sz w:val="18"/>
                <w:szCs w:val="18"/>
              </w:rPr>
              <w:t xml:space="preserve"> наступление страхового случая;</w:t>
            </w:r>
          </w:p>
          <w:p w14:paraId="561FA764" w14:textId="77777777" w:rsidR="000B311B" w:rsidRDefault="000B311B" w:rsidP="000B311B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изъятия, конфискации, реквизиции, ареста по распоряжению </w:t>
            </w:r>
            <w:r w:rsidRPr="008528BB">
              <w:rPr>
                <w:sz w:val="18"/>
                <w:szCs w:val="18"/>
              </w:rPr>
              <w:t>государственн</w:t>
            </w:r>
            <w:r>
              <w:rPr>
                <w:sz w:val="18"/>
                <w:szCs w:val="18"/>
              </w:rPr>
              <w:t xml:space="preserve">ых органов </w:t>
            </w:r>
            <w:r w:rsidRPr="008528BB">
              <w:rPr>
                <w:sz w:val="18"/>
                <w:szCs w:val="18"/>
              </w:rPr>
              <w:t>в стране отправ</w:t>
            </w:r>
            <w:r>
              <w:rPr>
                <w:sz w:val="18"/>
                <w:szCs w:val="18"/>
              </w:rPr>
              <w:t>ителя, получателя или транзита;</w:t>
            </w:r>
          </w:p>
          <w:p w14:paraId="17657EB3" w14:textId="77777777" w:rsidR="000B311B" w:rsidRDefault="000B311B" w:rsidP="000B311B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действий (бездействия) государственных органов, органов местного самоуправления либо должностных лиц этих органов, в том числе в результате издания указанными органами </w:t>
            </w:r>
            <w:r w:rsidRPr="008528BB">
              <w:rPr>
                <w:sz w:val="18"/>
                <w:szCs w:val="18"/>
              </w:rPr>
              <w:t>и должностными лицами документов, не соответствующих законам</w:t>
            </w:r>
            <w:r>
              <w:rPr>
                <w:sz w:val="18"/>
                <w:szCs w:val="18"/>
              </w:rPr>
              <w:t xml:space="preserve"> или другим правовым актам; ж) невыполнения требований Условий (Правил) использования пластиковой</w:t>
            </w:r>
            <w:r w:rsidRPr="008528BB">
              <w:rPr>
                <w:sz w:val="18"/>
                <w:szCs w:val="18"/>
              </w:rPr>
              <w:t xml:space="preserve"> карточки, утвержден</w:t>
            </w:r>
            <w:r>
              <w:rPr>
                <w:sz w:val="18"/>
                <w:szCs w:val="18"/>
              </w:rPr>
              <w:t>ных Эмитентом;</w:t>
            </w:r>
          </w:p>
          <w:p w14:paraId="2BBA4490" w14:textId="77777777" w:rsidR="000B311B" w:rsidRDefault="000B311B" w:rsidP="000B311B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умышленных действий (бездействия) близких родственников </w:t>
            </w:r>
            <w:r w:rsidRPr="008528BB">
              <w:rPr>
                <w:sz w:val="18"/>
                <w:szCs w:val="18"/>
              </w:rPr>
              <w:t>Страх</w:t>
            </w:r>
            <w:r>
              <w:rPr>
                <w:sz w:val="18"/>
                <w:szCs w:val="18"/>
              </w:rPr>
              <w:t>ователя (Застрахованного лица) или лиц, совместно проживающих со Страхователем</w:t>
            </w:r>
            <w:r w:rsidRPr="008528BB">
              <w:rPr>
                <w:sz w:val="18"/>
                <w:szCs w:val="18"/>
              </w:rPr>
              <w:t xml:space="preserve"> (Застрахованным лицом), направленных на</w:t>
            </w:r>
            <w:r>
              <w:rPr>
                <w:sz w:val="18"/>
                <w:szCs w:val="18"/>
              </w:rPr>
              <w:t xml:space="preserve"> наступление страхового случая;</w:t>
            </w:r>
          </w:p>
          <w:p w14:paraId="23E5103F" w14:textId="77777777" w:rsidR="000B311B" w:rsidRDefault="000B311B" w:rsidP="000B311B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утраты банковской карты, наличных денежных средств или иного имущества </w:t>
            </w:r>
            <w:r w:rsidRPr="008528BB">
              <w:rPr>
                <w:sz w:val="18"/>
                <w:szCs w:val="18"/>
              </w:rPr>
              <w:t>вследствие наркотического, токсического, алкоголь</w:t>
            </w:r>
            <w:r>
              <w:rPr>
                <w:sz w:val="18"/>
                <w:szCs w:val="18"/>
              </w:rPr>
              <w:t>ного опьянения держателя карты;</w:t>
            </w:r>
          </w:p>
          <w:p w14:paraId="25AD02C0" w14:textId="77777777" w:rsidR="000B311B" w:rsidRPr="008528BB" w:rsidRDefault="000B311B" w:rsidP="000B311B">
            <w:pPr>
              <w:pStyle w:val="a3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8528BB">
              <w:rPr>
                <w:sz w:val="18"/>
                <w:szCs w:val="18"/>
              </w:rPr>
              <w:t xml:space="preserve">террористического  акта  и/или  терроризма,  несмотря  на  любые  другие  обстоятельства  или события, действующие одновременно; действий по контролированию, предупреждению, подавлению или любыми другими действиями, относящимися к террористическому акту и/или терроризму; актов насилия или актов, опасных для человеческой жизни, материальной и нематериальной собственности с  целью  или  желанием  повлиять  на  любое  правительство  или  с  целью  запугивания  населения  или </w:t>
            </w:r>
            <w:r>
              <w:rPr>
                <w:sz w:val="18"/>
                <w:szCs w:val="18"/>
              </w:rPr>
              <w:t>какой-либо прослойки населения.</w:t>
            </w:r>
          </w:p>
          <w:p w14:paraId="794F4CA0" w14:textId="77777777" w:rsidR="000B311B" w:rsidRPr="001A2DE9" w:rsidRDefault="000B311B" w:rsidP="00293F33">
            <w:pPr>
              <w:pStyle w:val="2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Страховщик также не несёт ответственности за все операции по карте, совершённые после извещения Эмитента Держателем пластиковой карты о факте утраты пластиковой карты</w:t>
            </w:r>
            <w:r w:rsidRPr="001A2DE9">
              <w:rPr>
                <w:sz w:val="18"/>
                <w:szCs w:val="18"/>
              </w:rPr>
              <w:t xml:space="preserve"> (потери, кражи или хищения).</w:t>
            </w:r>
          </w:p>
        </w:tc>
      </w:tr>
      <w:tr w:rsidR="000B311B" w:rsidRPr="00E31ED7" w14:paraId="311FF2FA" w14:textId="77777777" w:rsidTr="00293F33">
        <w:trPr>
          <w:trHeight w:val="392"/>
        </w:trPr>
        <w:tc>
          <w:tcPr>
            <w:tcW w:w="2978" w:type="dxa"/>
            <w:shd w:val="clear" w:color="auto" w:fill="8DB3E2"/>
            <w:vAlign w:val="center"/>
          </w:tcPr>
          <w:p w14:paraId="6F59D06C" w14:textId="77777777" w:rsidR="000B311B" w:rsidRPr="00E31ED7" w:rsidRDefault="000B311B" w:rsidP="00293F33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1ED7">
              <w:rPr>
                <w:rFonts w:eastAsia="Calibri"/>
                <w:b/>
                <w:sz w:val="18"/>
                <w:szCs w:val="18"/>
                <w:lang w:eastAsia="en-US"/>
              </w:rPr>
              <w:t>СТРАХОВАЯ СУММА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(</w:t>
            </w:r>
            <w:r w:rsidRPr="002271BD">
              <w:rPr>
                <w:b/>
                <w:sz w:val="18"/>
                <w:szCs w:val="18"/>
              </w:rPr>
              <w:t>ЛИМИТ ПО РИСКАМ СТРАХОВАНИЯ, УКАЗАННЫМ В П .2.1.1 - П.2.1.7. ДОГОВОРА</w:t>
            </w:r>
            <w:r w:rsidRPr="001F7540">
              <w:rPr>
                <w:b/>
                <w:sz w:val="18"/>
              </w:rPr>
              <w:t>)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39DA06A" w14:textId="088415A9" w:rsidR="000B311B" w:rsidRPr="00E31ED7" w:rsidRDefault="000B311B" w:rsidP="000B311B">
            <w:pPr>
              <w:numPr>
                <w:ilvl w:val="0"/>
                <w:numId w:val="1"/>
              </w:numPr>
              <w:ind w:left="317" w:hanging="28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u w:val="single"/>
                <w:lang w:eastAsia="en-US"/>
              </w:rPr>
              <w:t>30 000</w:t>
            </w:r>
            <w:r w:rsidRPr="00E31ED7">
              <w:rPr>
                <w:rFonts w:eastAsia="Calibri"/>
                <w:sz w:val="18"/>
                <w:szCs w:val="18"/>
                <w:lang w:eastAsia="en-US"/>
              </w:rPr>
              <w:t xml:space="preserve"> ( </w:t>
            </w:r>
            <w:r>
              <w:rPr>
                <w:rFonts w:eastAsia="Calibri"/>
                <w:sz w:val="18"/>
                <w:szCs w:val="18"/>
                <w:lang w:eastAsia="en-US"/>
              </w:rPr>
              <w:t>Тридцать тысяч)</w:t>
            </w:r>
            <w:r w:rsidRPr="00E31ED7">
              <w:rPr>
                <w:rFonts w:eastAsia="Calibri"/>
                <w:sz w:val="18"/>
                <w:szCs w:val="18"/>
                <w:lang w:eastAsia="en-US"/>
              </w:rPr>
              <w:t xml:space="preserve"> рублей, </w:t>
            </w:r>
            <w:r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00 </w:t>
            </w:r>
            <w:r w:rsidRPr="00E31ED7">
              <w:rPr>
                <w:rFonts w:eastAsia="Calibri"/>
                <w:sz w:val="18"/>
                <w:szCs w:val="18"/>
                <w:lang w:eastAsia="en-US"/>
              </w:rPr>
              <w:t>коп.</w:t>
            </w:r>
          </w:p>
        </w:tc>
      </w:tr>
      <w:tr w:rsidR="000B311B" w:rsidRPr="00E31ED7" w14:paraId="5D53AE93" w14:textId="77777777" w:rsidTr="00293F33">
        <w:tc>
          <w:tcPr>
            <w:tcW w:w="2978" w:type="dxa"/>
            <w:shd w:val="clear" w:color="auto" w:fill="8DB3E2"/>
            <w:vAlign w:val="center"/>
          </w:tcPr>
          <w:p w14:paraId="31B92CF3" w14:textId="77777777" w:rsidR="000B311B" w:rsidRPr="00E31ED7" w:rsidRDefault="000B311B" w:rsidP="00293F33">
            <w:pPr>
              <w:tabs>
                <w:tab w:val="left" w:pos="175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31ED7">
              <w:rPr>
                <w:rFonts w:eastAsia="Calibri"/>
                <w:b/>
                <w:sz w:val="18"/>
                <w:szCs w:val="18"/>
                <w:lang w:eastAsia="en-US"/>
              </w:rPr>
              <w:t>ПЕРИОД СТРАХОВАНИЯ: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7FE2EBC" w14:textId="77777777" w:rsidR="000B311B" w:rsidRPr="00E31ED7" w:rsidRDefault="000B311B" w:rsidP="00293F3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31ED7">
              <w:rPr>
                <w:rFonts w:eastAsia="Calibri"/>
                <w:sz w:val="18"/>
                <w:szCs w:val="18"/>
                <w:lang w:eastAsia="en-US"/>
              </w:rPr>
              <w:t xml:space="preserve">с 00.00 часов </w:t>
            </w:r>
            <w:r w:rsidRPr="00E31ED7">
              <w:rPr>
                <w:rFonts w:eastAsia="Calibri"/>
                <w:color w:val="000000"/>
                <w:sz w:val="18"/>
                <w:szCs w:val="18"/>
              </w:rPr>
              <w:t>«</w:t>
            </w:r>
            <w:r w:rsidRPr="00060C98">
              <w:rPr>
                <w:rFonts w:eastAsia="Calibri"/>
                <w:color w:val="000000"/>
                <w:sz w:val="18"/>
                <w:szCs w:val="18"/>
                <w:highlight w:val="lightGray"/>
              </w:rPr>
              <w:t>___</w:t>
            </w:r>
            <w:r w:rsidRPr="00E31ED7">
              <w:rPr>
                <w:rFonts w:eastAsia="Calibri"/>
                <w:color w:val="000000"/>
                <w:sz w:val="18"/>
                <w:szCs w:val="18"/>
              </w:rPr>
              <w:t xml:space="preserve">» </w:t>
            </w:r>
            <w:r w:rsidRPr="00060C98">
              <w:rPr>
                <w:rFonts w:eastAsia="Calibri"/>
                <w:color w:val="000000"/>
                <w:sz w:val="18"/>
                <w:szCs w:val="18"/>
                <w:highlight w:val="lightGray"/>
              </w:rPr>
              <w:t>_________</w:t>
            </w:r>
            <w:r w:rsidRPr="00E31ED7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060C98">
              <w:rPr>
                <w:rFonts w:eastAsia="Calibri"/>
                <w:sz w:val="18"/>
                <w:szCs w:val="18"/>
                <w:highlight w:val="lightGray"/>
                <w:lang w:eastAsia="en-US"/>
              </w:rPr>
              <w:t>__</w:t>
            </w:r>
            <w:r w:rsidRPr="00E31ED7">
              <w:rPr>
                <w:rFonts w:eastAsia="Calibri"/>
                <w:sz w:val="18"/>
                <w:szCs w:val="18"/>
                <w:lang w:eastAsia="en-US"/>
              </w:rPr>
              <w:t xml:space="preserve">г. по 23.59 часов </w:t>
            </w:r>
            <w:r w:rsidRPr="00E31ED7">
              <w:rPr>
                <w:rFonts w:eastAsia="Calibri"/>
                <w:color w:val="000000"/>
                <w:sz w:val="18"/>
                <w:szCs w:val="18"/>
              </w:rPr>
              <w:t>«</w:t>
            </w:r>
            <w:r w:rsidRPr="00060C98">
              <w:rPr>
                <w:rFonts w:eastAsia="Calibri"/>
                <w:color w:val="000000"/>
                <w:sz w:val="18"/>
                <w:szCs w:val="18"/>
                <w:highlight w:val="lightGray"/>
              </w:rPr>
              <w:t>___</w:t>
            </w:r>
            <w:r w:rsidRPr="00E31ED7">
              <w:rPr>
                <w:rFonts w:eastAsia="Calibri"/>
                <w:color w:val="000000"/>
                <w:sz w:val="18"/>
                <w:szCs w:val="18"/>
              </w:rPr>
              <w:t xml:space="preserve">» </w:t>
            </w:r>
            <w:r w:rsidRPr="00060C98">
              <w:rPr>
                <w:rFonts w:eastAsia="Calibri"/>
                <w:color w:val="000000"/>
                <w:sz w:val="18"/>
                <w:szCs w:val="18"/>
                <w:highlight w:val="lightGray"/>
              </w:rPr>
              <w:t>___________</w:t>
            </w:r>
            <w:r w:rsidRPr="00E31ED7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060C98">
              <w:rPr>
                <w:rFonts w:eastAsia="Calibri"/>
                <w:sz w:val="18"/>
                <w:szCs w:val="18"/>
                <w:highlight w:val="lightGray"/>
                <w:lang w:eastAsia="en-US"/>
              </w:rPr>
              <w:t>__</w:t>
            </w:r>
            <w:r w:rsidRPr="00E31ED7">
              <w:rPr>
                <w:rFonts w:eastAsia="Calibri"/>
                <w:sz w:val="18"/>
                <w:szCs w:val="18"/>
                <w:lang w:eastAsia="en-US"/>
              </w:rPr>
              <w:t>г. включительно.</w:t>
            </w:r>
          </w:p>
        </w:tc>
      </w:tr>
    </w:tbl>
    <w:p w14:paraId="6E5D13CB" w14:textId="77777777" w:rsidR="000B311B" w:rsidRDefault="000B311B" w:rsidP="000B311B">
      <w:pPr>
        <w:widowControl w:val="0"/>
        <w:ind w:right="39"/>
        <w:jc w:val="both"/>
        <w:rPr>
          <w:b/>
          <w:bCs/>
          <w:sz w:val="16"/>
          <w:szCs w:val="16"/>
          <w:lang w:bidi="ru-RU"/>
        </w:rPr>
      </w:pPr>
    </w:p>
    <w:p w14:paraId="03CD3D26" w14:textId="77777777" w:rsidR="000B311B" w:rsidRDefault="000B311B" w:rsidP="000B311B">
      <w:pPr>
        <w:widowControl w:val="0"/>
        <w:ind w:right="39"/>
        <w:jc w:val="both"/>
        <w:rPr>
          <w:b/>
          <w:bCs/>
          <w:lang w:bidi="ru-RU"/>
        </w:rPr>
      </w:pPr>
      <w:r w:rsidRPr="00300E5F">
        <w:rPr>
          <w:b/>
          <w:bCs/>
          <w:lang w:bidi="ru-RU"/>
        </w:rPr>
        <w:t>Порядок выплаты страхового возмещения:</w:t>
      </w:r>
    </w:p>
    <w:p w14:paraId="73AF8B95" w14:textId="77777777" w:rsidR="000B311B" w:rsidRPr="00300E5F" w:rsidRDefault="000B311B" w:rsidP="000B311B">
      <w:pPr>
        <w:pStyle w:val="a3"/>
        <w:widowControl w:val="0"/>
        <w:numPr>
          <w:ilvl w:val="0"/>
          <w:numId w:val="4"/>
        </w:numPr>
        <w:ind w:left="0" w:right="39" w:firstLine="0"/>
        <w:jc w:val="both"/>
        <w:rPr>
          <w:b/>
          <w:bCs/>
          <w:lang w:bidi="ru-RU"/>
        </w:rPr>
      </w:pPr>
      <w:r>
        <w:rPr>
          <w:lang w:bidi="ru-RU"/>
        </w:rPr>
        <w:t>Застрахованное лицо</w:t>
      </w:r>
      <w:r w:rsidRPr="00300E5F">
        <w:rPr>
          <w:lang w:bidi="ru-RU"/>
        </w:rPr>
        <w:t xml:space="preserve"> направляет </w:t>
      </w:r>
      <w:r>
        <w:rPr>
          <w:lang w:bidi="ru-RU"/>
        </w:rPr>
        <w:t>Страховщику</w:t>
      </w:r>
      <w:r w:rsidRPr="00300E5F">
        <w:rPr>
          <w:lang w:bidi="ru-RU"/>
        </w:rPr>
        <w:t xml:space="preserve"> комплект документов (для рассмотрения заявления и признания случая страховым/не страховым достаточно электронного вида, для осуществления страховой выплаты необходим печатный/рукописный комплект);</w:t>
      </w:r>
    </w:p>
    <w:p w14:paraId="308AB67C" w14:textId="77777777" w:rsidR="000B311B" w:rsidRPr="00300E5F" w:rsidRDefault="000B311B" w:rsidP="000B311B">
      <w:pPr>
        <w:pStyle w:val="a3"/>
        <w:widowControl w:val="0"/>
        <w:numPr>
          <w:ilvl w:val="0"/>
          <w:numId w:val="4"/>
        </w:numPr>
        <w:ind w:right="39"/>
        <w:jc w:val="both"/>
        <w:rPr>
          <w:b/>
          <w:bCs/>
          <w:lang w:bidi="ru-RU"/>
        </w:rPr>
      </w:pPr>
      <w:r w:rsidRPr="00300E5F">
        <w:rPr>
          <w:lang w:bidi="ru-RU"/>
        </w:rPr>
        <w:t>Устан</w:t>
      </w:r>
      <w:r>
        <w:rPr>
          <w:lang w:bidi="ru-RU"/>
        </w:rPr>
        <w:t>овление факта страхового случая;</w:t>
      </w:r>
    </w:p>
    <w:p w14:paraId="5487877D" w14:textId="77777777" w:rsidR="000B311B" w:rsidRPr="00300E5F" w:rsidRDefault="000B311B" w:rsidP="000B311B">
      <w:pPr>
        <w:pStyle w:val="a3"/>
        <w:widowControl w:val="0"/>
        <w:numPr>
          <w:ilvl w:val="0"/>
          <w:numId w:val="4"/>
        </w:numPr>
        <w:ind w:right="39"/>
        <w:jc w:val="both"/>
        <w:rPr>
          <w:b/>
          <w:bCs/>
          <w:lang w:bidi="ru-RU"/>
        </w:rPr>
      </w:pPr>
      <w:r>
        <w:rPr>
          <w:lang w:bidi="ru-RU"/>
        </w:rPr>
        <w:t>Определение размера убытка;</w:t>
      </w:r>
    </w:p>
    <w:p w14:paraId="6E65BB72" w14:textId="77777777" w:rsidR="000B311B" w:rsidRPr="00300E5F" w:rsidRDefault="000B311B" w:rsidP="000B311B">
      <w:pPr>
        <w:pStyle w:val="a3"/>
        <w:widowControl w:val="0"/>
        <w:numPr>
          <w:ilvl w:val="0"/>
          <w:numId w:val="4"/>
        </w:numPr>
        <w:ind w:right="39"/>
        <w:jc w:val="both"/>
        <w:rPr>
          <w:b/>
          <w:bCs/>
          <w:lang w:bidi="ru-RU"/>
        </w:rPr>
      </w:pPr>
      <w:r w:rsidRPr="00300E5F">
        <w:rPr>
          <w:lang w:bidi="ru-RU"/>
        </w:rPr>
        <w:t>Выплата страхового возмещения.</w:t>
      </w:r>
    </w:p>
    <w:p w14:paraId="4FD4F9FA" w14:textId="77777777" w:rsidR="000B311B" w:rsidRPr="00BD1019" w:rsidRDefault="000B311B" w:rsidP="000B311B">
      <w:pPr>
        <w:widowControl w:val="0"/>
        <w:ind w:right="39"/>
        <w:jc w:val="both"/>
        <w:rPr>
          <w:b/>
          <w:bCs/>
          <w:sz w:val="10"/>
          <w:szCs w:val="10"/>
          <w:lang w:bidi="ru-RU"/>
        </w:rPr>
      </w:pPr>
    </w:p>
    <w:p w14:paraId="3886C583" w14:textId="77777777" w:rsidR="000B311B" w:rsidRDefault="000B311B" w:rsidP="000B311B">
      <w:pPr>
        <w:widowControl w:val="0"/>
        <w:ind w:right="39"/>
        <w:jc w:val="both"/>
        <w:rPr>
          <w:b/>
          <w:bCs/>
          <w:lang w:bidi="ru-RU"/>
        </w:rPr>
      </w:pPr>
      <w:r w:rsidRPr="00300E5F">
        <w:rPr>
          <w:b/>
          <w:bCs/>
          <w:lang w:bidi="ru-RU"/>
        </w:rPr>
        <w:t>Документы от Клиента для урегулирования страхового случая:</w:t>
      </w:r>
    </w:p>
    <w:p w14:paraId="2553F654" w14:textId="77777777" w:rsidR="000B311B" w:rsidRPr="00755447" w:rsidRDefault="000B311B" w:rsidP="000B311B">
      <w:pPr>
        <w:pStyle w:val="a3"/>
        <w:widowControl w:val="0"/>
        <w:numPr>
          <w:ilvl w:val="0"/>
          <w:numId w:val="5"/>
        </w:numPr>
        <w:ind w:right="39"/>
        <w:jc w:val="both"/>
        <w:rPr>
          <w:b/>
          <w:bCs/>
          <w:lang w:bidi="ru-RU"/>
        </w:rPr>
      </w:pPr>
      <w:r w:rsidRPr="00300E5F">
        <w:rPr>
          <w:lang w:bidi="ru-RU"/>
        </w:rPr>
        <w:t>заявление в страховую компанию</w:t>
      </w:r>
      <w:r>
        <w:rPr>
          <w:lang w:bidi="ru-RU"/>
        </w:rPr>
        <w:t xml:space="preserve"> (Страховщику) с описанием страхового события;</w:t>
      </w:r>
    </w:p>
    <w:p w14:paraId="211DAFC9" w14:textId="77777777" w:rsidR="000B311B" w:rsidRPr="00300E5F" w:rsidRDefault="000B311B" w:rsidP="000B311B">
      <w:pPr>
        <w:pStyle w:val="a3"/>
        <w:widowControl w:val="0"/>
        <w:numPr>
          <w:ilvl w:val="0"/>
          <w:numId w:val="5"/>
        </w:numPr>
        <w:ind w:right="39"/>
        <w:jc w:val="both"/>
        <w:rPr>
          <w:b/>
          <w:bCs/>
          <w:lang w:bidi="ru-RU"/>
        </w:rPr>
      </w:pPr>
      <w:r w:rsidRPr="00300E5F">
        <w:rPr>
          <w:lang w:bidi="ru-RU"/>
        </w:rPr>
        <w:lastRenderedPageBreak/>
        <w:t xml:space="preserve">копия заявления </w:t>
      </w:r>
      <w:r>
        <w:rPr>
          <w:lang w:bidi="ru-RU"/>
        </w:rPr>
        <w:t>в ОВД с отметкой о его принятии;</w:t>
      </w:r>
    </w:p>
    <w:p w14:paraId="0AED7F80" w14:textId="77777777" w:rsidR="000B311B" w:rsidRPr="00300E5F" w:rsidRDefault="000B311B" w:rsidP="000B311B">
      <w:pPr>
        <w:pStyle w:val="a3"/>
        <w:widowControl w:val="0"/>
        <w:numPr>
          <w:ilvl w:val="0"/>
          <w:numId w:val="5"/>
        </w:numPr>
        <w:ind w:right="39"/>
        <w:jc w:val="both"/>
        <w:rPr>
          <w:b/>
          <w:bCs/>
          <w:lang w:bidi="ru-RU"/>
        </w:rPr>
      </w:pPr>
      <w:r w:rsidRPr="00300E5F">
        <w:rPr>
          <w:lang w:bidi="ru-RU"/>
        </w:rPr>
        <w:t>документы Банка-эмитента, предусмотренные договором страхования, свидетельствующие о сумме и дате снятия средств с карточного счёта Страхователя (абонента), а также иных обстоятельствах</w:t>
      </w:r>
      <w:r>
        <w:rPr>
          <w:lang w:bidi="ru-RU"/>
        </w:rPr>
        <w:t xml:space="preserve"> наступления страхового события;</w:t>
      </w:r>
    </w:p>
    <w:p w14:paraId="5440FDEE" w14:textId="77777777" w:rsidR="000B311B" w:rsidRPr="00300E5F" w:rsidRDefault="000B311B" w:rsidP="000B311B">
      <w:pPr>
        <w:pStyle w:val="a3"/>
        <w:widowControl w:val="0"/>
        <w:numPr>
          <w:ilvl w:val="0"/>
          <w:numId w:val="5"/>
        </w:numPr>
        <w:ind w:right="39"/>
        <w:jc w:val="both"/>
        <w:rPr>
          <w:b/>
          <w:bCs/>
          <w:lang w:bidi="ru-RU"/>
        </w:rPr>
      </w:pPr>
      <w:r w:rsidRPr="00300E5F">
        <w:rPr>
          <w:lang w:bidi="ru-RU"/>
        </w:rPr>
        <w:t>оригиналы документов, позволяющих судить о причине и характере возникшего с</w:t>
      </w:r>
      <w:r>
        <w:rPr>
          <w:lang w:bidi="ru-RU"/>
        </w:rPr>
        <w:t>обытия и размере ущерба (вреда);</w:t>
      </w:r>
    </w:p>
    <w:p w14:paraId="5C5A88A6" w14:textId="77777777" w:rsidR="000B311B" w:rsidRPr="00300E5F" w:rsidRDefault="000B311B" w:rsidP="000B311B">
      <w:pPr>
        <w:pStyle w:val="a3"/>
        <w:widowControl w:val="0"/>
        <w:numPr>
          <w:ilvl w:val="0"/>
          <w:numId w:val="5"/>
        </w:numPr>
        <w:ind w:right="39"/>
        <w:jc w:val="both"/>
        <w:rPr>
          <w:b/>
          <w:bCs/>
          <w:lang w:bidi="ru-RU"/>
        </w:rPr>
      </w:pPr>
      <w:r w:rsidRPr="00300E5F">
        <w:rPr>
          <w:lang w:bidi="ru-RU"/>
        </w:rPr>
        <w:t>по расходам в связи с выпуском новой пластиковой карты – документы, подтверждающие расходы, связанные с в</w:t>
      </w:r>
      <w:r>
        <w:rPr>
          <w:lang w:bidi="ru-RU"/>
        </w:rPr>
        <w:t>ыпуском новой пластиковой карты;</w:t>
      </w:r>
    </w:p>
    <w:p w14:paraId="18392571" w14:textId="77777777" w:rsidR="000B311B" w:rsidRPr="00300E5F" w:rsidRDefault="000B311B" w:rsidP="000B311B">
      <w:pPr>
        <w:pStyle w:val="a3"/>
        <w:widowControl w:val="0"/>
        <w:numPr>
          <w:ilvl w:val="0"/>
          <w:numId w:val="5"/>
        </w:numPr>
        <w:ind w:right="39"/>
        <w:jc w:val="both"/>
        <w:rPr>
          <w:b/>
          <w:bCs/>
          <w:lang w:bidi="ru-RU"/>
        </w:rPr>
      </w:pPr>
      <w:r w:rsidRPr="00300E5F">
        <w:rPr>
          <w:lang w:bidi="ru-RU"/>
        </w:rPr>
        <w:t>реквизиты счета для перечисления страховой выплаты.</w:t>
      </w:r>
    </w:p>
    <w:p w14:paraId="635E316C" w14:textId="77777777" w:rsidR="000B311B" w:rsidRPr="00BD1019" w:rsidRDefault="000B311B" w:rsidP="000B311B">
      <w:pPr>
        <w:widowControl w:val="0"/>
        <w:ind w:right="39"/>
        <w:jc w:val="both"/>
        <w:rPr>
          <w:b/>
          <w:bCs/>
          <w:sz w:val="10"/>
          <w:szCs w:val="10"/>
          <w:lang w:bidi="ru-RU"/>
        </w:rPr>
      </w:pPr>
    </w:p>
    <w:p w14:paraId="2F9AE01D" w14:textId="77777777" w:rsidR="000B311B" w:rsidRPr="00300E5F" w:rsidRDefault="000B311B" w:rsidP="000B311B">
      <w:pPr>
        <w:widowControl w:val="0"/>
        <w:ind w:right="39"/>
        <w:jc w:val="both"/>
        <w:rPr>
          <w:b/>
          <w:bCs/>
          <w:lang w:bidi="ru-RU"/>
        </w:rPr>
      </w:pPr>
      <w:r w:rsidRPr="00300E5F">
        <w:rPr>
          <w:b/>
          <w:bCs/>
          <w:lang w:bidi="ru-RU"/>
        </w:rPr>
        <w:t>Контакты:</w:t>
      </w:r>
    </w:p>
    <w:p w14:paraId="6394973E" w14:textId="77777777" w:rsidR="000B311B" w:rsidRPr="00300E5F" w:rsidRDefault="000B311B" w:rsidP="000B311B">
      <w:pPr>
        <w:widowControl w:val="0"/>
        <w:ind w:right="39"/>
        <w:jc w:val="both"/>
        <w:rPr>
          <w:lang w:bidi="ru-RU"/>
        </w:rPr>
      </w:pPr>
      <w:r w:rsidRPr="00300E5F">
        <w:rPr>
          <w:lang w:bidi="ru-RU"/>
        </w:rPr>
        <w:t>Адрес: 115280, г. Москва, ул. Ленинская Слобода, д. 26</w:t>
      </w:r>
    </w:p>
    <w:p w14:paraId="567B1624" w14:textId="77777777" w:rsidR="000B311B" w:rsidRPr="00300E5F" w:rsidRDefault="000B311B" w:rsidP="000B311B">
      <w:pPr>
        <w:rPr>
          <w:lang w:bidi="ru-RU"/>
        </w:rPr>
      </w:pPr>
      <w:r w:rsidRPr="00300E5F">
        <w:rPr>
          <w:lang w:bidi="ru-RU"/>
        </w:rPr>
        <w:t>Телефон: 8 (495) 025-77-77 для Москвы и Московской области, 8 (800) 200-18-38 для регионов (звонок бесплатный)</w:t>
      </w:r>
    </w:p>
    <w:p w14:paraId="4B0D3D24" w14:textId="77777777" w:rsidR="000B311B" w:rsidRDefault="000B311B" w:rsidP="000B311B">
      <w:pPr>
        <w:widowControl w:val="0"/>
        <w:ind w:right="39"/>
        <w:jc w:val="center"/>
        <w:rPr>
          <w:b/>
        </w:rPr>
      </w:pPr>
    </w:p>
    <w:p w14:paraId="55EF74A7" w14:textId="77777777" w:rsidR="000B311B" w:rsidRDefault="000B311B" w:rsidP="000B311B">
      <w:pPr>
        <w:widowControl w:val="0"/>
        <w:ind w:right="39"/>
        <w:jc w:val="center"/>
        <w:rPr>
          <w:b/>
        </w:rPr>
      </w:pPr>
    </w:p>
    <w:sectPr w:rsidR="000B311B" w:rsidSect="009450A2">
      <w:pgSz w:w="11906" w:h="16838"/>
      <w:pgMar w:top="567" w:right="425" w:bottom="142" w:left="992" w:header="0" w:footer="34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D4737" w16cex:dateUtc="2023-08-08T19:59:00Z"/>
  <w16cex:commentExtensible w16cex:durableId="287D474F" w16cex:dateUtc="2023-08-08T19:59:00Z"/>
  <w16cex:commentExtensible w16cex:durableId="287D4778" w16cex:dateUtc="2023-08-08T20:00:00Z"/>
  <w16cex:commentExtensible w16cex:durableId="287D478F" w16cex:dateUtc="2023-08-08T20:00:00Z"/>
  <w16cex:commentExtensible w16cex:durableId="287D47F3" w16cex:dateUtc="2023-08-08T20:02:00Z"/>
  <w16cex:commentExtensible w16cex:durableId="287D4829" w16cex:dateUtc="2023-08-08T2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ABEF5E" w16cid:durableId="287D4737"/>
  <w16cid:commentId w16cid:paraId="0C7A33F6" w16cid:durableId="287D474F"/>
  <w16cid:commentId w16cid:paraId="06BF4A3D" w16cid:durableId="287D4778"/>
  <w16cid:commentId w16cid:paraId="4FD2D37C" w16cid:durableId="287D478F"/>
  <w16cid:commentId w16cid:paraId="4E3FB6A1" w16cid:durableId="287D47F3"/>
  <w16cid:commentId w16cid:paraId="73885220" w16cid:durableId="287D48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264"/>
    <w:multiLevelType w:val="multilevel"/>
    <w:tmpl w:val="93E41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D722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FF52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F22432"/>
    <w:multiLevelType w:val="hybridMultilevel"/>
    <w:tmpl w:val="7E2A6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55C9D"/>
    <w:multiLevelType w:val="multilevel"/>
    <w:tmpl w:val="93E41B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1B"/>
    <w:rsid w:val="000B311B"/>
    <w:rsid w:val="00241606"/>
    <w:rsid w:val="00D465F9"/>
    <w:rsid w:val="00D9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AA5C"/>
  <w15:chartTrackingRefBased/>
  <w15:docId w15:val="{7A6ACD04-404D-41BB-9AD0-F283F8C6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1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qFormat/>
    <w:rsid w:val="000B311B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311B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B311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B311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311B"/>
  </w:style>
  <w:style w:type="character" w:customStyle="1" w:styleId="a6">
    <w:name w:val="Текст примечания Знак"/>
    <w:basedOn w:val="a0"/>
    <w:link w:val="a5"/>
    <w:uiPriority w:val="99"/>
    <w:semiHidden/>
    <w:rsid w:val="000B311B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311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311B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5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65F9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Светлана Ивановна</dc:creator>
  <cp:keywords/>
  <dc:description/>
  <cp:lastModifiedBy>Дякина Мария Сергеевна</cp:lastModifiedBy>
  <cp:revision>2</cp:revision>
  <dcterms:created xsi:type="dcterms:W3CDTF">2023-08-08T19:57:00Z</dcterms:created>
  <dcterms:modified xsi:type="dcterms:W3CDTF">2023-08-09T07:55:00Z</dcterms:modified>
</cp:coreProperties>
</file>